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8"/>
      </w:tblGrid>
      <w:tr w:rsidR="00477FF5" w:rsidRPr="001D11BC" w:rsidTr="009E786E">
        <w:tc>
          <w:tcPr>
            <w:tcW w:w="9778" w:type="dxa"/>
            <w:shd w:val="clear" w:color="auto" w:fill="auto"/>
          </w:tcPr>
          <w:p w:rsidR="00477FF5" w:rsidRPr="001D11BC" w:rsidRDefault="00477FF5" w:rsidP="009E786E">
            <w:pPr>
              <w:contextualSpacing/>
              <w:jc w:val="center"/>
              <w:rPr>
                <w:rFonts w:ascii="Times New Roman" w:hAnsi="Times New Roman" w:cs="Times New Roman"/>
                <w:b/>
                <w:color w:val="FF0000"/>
                <w:sz w:val="24"/>
                <w:szCs w:val="24"/>
              </w:rPr>
            </w:pPr>
            <w:r w:rsidRPr="001D11BC">
              <w:rPr>
                <w:rFonts w:ascii="Times New Roman" w:hAnsi="Times New Roman" w:cs="Times New Roman"/>
                <w:b/>
                <w:sz w:val="24"/>
                <w:szCs w:val="24"/>
              </w:rPr>
              <w:t>LOT</w:t>
            </w:r>
            <w:bookmarkStart w:id="0" w:name="_Toc102664146"/>
            <w:r w:rsidRPr="001D11BC">
              <w:rPr>
                <w:rFonts w:ascii="Times New Roman" w:hAnsi="Times New Roman" w:cs="Times New Roman"/>
                <w:b/>
                <w:sz w:val="24"/>
                <w:szCs w:val="24"/>
              </w:rPr>
              <w:t>TO 1 –</w:t>
            </w:r>
            <w:bookmarkEnd w:id="0"/>
            <w:r w:rsidRPr="001D11BC">
              <w:rPr>
                <w:rFonts w:ascii="Times New Roman" w:hAnsi="Times New Roman" w:cs="Times New Roman"/>
                <w:b/>
                <w:sz w:val="24"/>
                <w:szCs w:val="24"/>
              </w:rPr>
              <w:t xml:space="preserve"> SISTEMI DI PREANALITICA E POST-ANALITICA DIPARTIMENTALI</w:t>
            </w:r>
          </w:p>
        </w:tc>
      </w:tr>
    </w:tbl>
    <w:p w:rsidR="00477FF5" w:rsidRPr="00516377" w:rsidRDefault="00477FF5" w:rsidP="00477FF5">
      <w:pPr>
        <w:contextualSpacing/>
        <w:jc w:val="both"/>
        <w:rPr>
          <w:rFonts w:ascii="Times New Roman" w:hAnsi="Times New Roman" w:cs="Times New Roman"/>
          <w:sz w:val="24"/>
          <w:szCs w:val="24"/>
        </w:rPr>
      </w:pPr>
    </w:p>
    <w:p w:rsidR="00477FF5" w:rsidRDefault="00477FF5" w:rsidP="00477FF5">
      <w:pPr>
        <w:spacing w:after="120"/>
        <w:contextualSpacing/>
        <w:jc w:val="both"/>
        <w:rPr>
          <w:rFonts w:ascii="Times New Roman" w:hAnsi="Times New Roman" w:cs="Times New Roman"/>
          <w:bCs/>
          <w:sz w:val="24"/>
          <w:szCs w:val="24"/>
        </w:rPr>
      </w:pPr>
      <w:bookmarkStart w:id="1" w:name="_Toc98168062"/>
      <w:bookmarkEnd w:id="1"/>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 xml:space="preserve">Devono essere previste aree preanalitiche dipartimentali (Medicina di Laboratorio e Microbiologia) in grado di gestire i flussi di campioni afferenti al Laboratorio HUB e ai Laboratori </w:t>
            </w:r>
            <w:proofErr w:type="spellStart"/>
            <w:r w:rsidRPr="00926C06">
              <w:rPr>
                <w:rFonts w:ascii="Times New Roman" w:hAnsi="Times New Roman" w:cs="Times New Roman"/>
                <w:sz w:val="24"/>
                <w:szCs w:val="24"/>
              </w:rPr>
              <w:t>Spoke</w:t>
            </w:r>
            <w:proofErr w:type="spellEnd"/>
            <w:r w:rsidRPr="00926C06">
              <w:rPr>
                <w:rFonts w:ascii="Times New Roman" w:hAnsi="Times New Roman" w:cs="Times New Roman"/>
                <w:sz w:val="24"/>
                <w:szCs w:val="24"/>
              </w:rPr>
              <w:t>. Tali soluzioni dovranno essere collegate in modo logico alla linea automatica di processo (per collegamento logico si intende sia quello di carattere informatico sia la capacità di diminuire le manipolazioni successive del campione. Pertanto tali sistemi devono essere autonomi e indipendenti da qualsiasi legame fisico con gli analizzatori);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 xml:space="preserve">Deve essere presente per </w:t>
            </w:r>
            <w:r w:rsidRPr="00926C06">
              <w:rPr>
                <w:rFonts w:ascii="Times New Roman" w:hAnsi="Times New Roman" w:cs="Times New Roman"/>
                <w:sz w:val="24"/>
                <w:szCs w:val="24"/>
                <w:u w:val="single"/>
              </w:rPr>
              <w:t>ciascuna</w:t>
            </w:r>
            <w:r>
              <w:rPr>
                <w:rFonts w:ascii="Times New Roman" w:hAnsi="Times New Roman" w:cs="Times New Roman"/>
                <w:sz w:val="24"/>
                <w:szCs w:val="24"/>
              </w:rPr>
              <w:t xml:space="preserve"> strumentazione </w:t>
            </w:r>
            <w:r w:rsidRPr="00926C06">
              <w:rPr>
                <w:rFonts w:ascii="Times New Roman" w:hAnsi="Times New Roman" w:cs="Times New Roman"/>
                <w:sz w:val="24"/>
                <w:szCs w:val="24"/>
              </w:rPr>
              <w:t>offerta il collegamento bidirezionale al</w:t>
            </w:r>
            <w:r w:rsidRPr="00926C06">
              <w:rPr>
                <w:rFonts w:ascii="Times New Roman" w:hAnsi="Times New Roman" w:cs="Times New Roman"/>
                <w:sz w:val="24"/>
                <w:szCs w:val="24"/>
                <w:lang w:eastAsia="it-IT"/>
              </w:rPr>
              <w:t xml:space="preserve"> </w:t>
            </w:r>
            <w:proofErr w:type="spellStart"/>
            <w:r w:rsidRPr="00926C06">
              <w:rPr>
                <w:rFonts w:ascii="Times New Roman" w:hAnsi="Times New Roman" w:cs="Times New Roman"/>
                <w:sz w:val="24"/>
                <w:szCs w:val="24"/>
                <w:lang w:eastAsia="it-IT"/>
              </w:rPr>
              <w:t>middleware</w:t>
            </w:r>
            <w:proofErr w:type="spellEnd"/>
            <w:r w:rsidRPr="00926C06">
              <w:rPr>
                <w:rFonts w:ascii="Times New Roman" w:hAnsi="Times New Roman" w:cs="Times New Roman"/>
                <w:sz w:val="24"/>
                <w:szCs w:val="24"/>
                <w:lang w:eastAsia="it-IT"/>
              </w:rPr>
              <w:t xml:space="preserve"> di Laboratorio HALIA;</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Per ciascuna delle sedi di TV, CF e CO prevedere almeno</w:t>
            </w:r>
            <w:r w:rsidRPr="00926C06">
              <w:rPr>
                <w:rFonts w:ascii="Times New Roman" w:hAnsi="Times New Roman" w:cs="Times New Roman"/>
                <w:color w:val="C9211E"/>
                <w:sz w:val="24"/>
                <w:szCs w:val="24"/>
              </w:rPr>
              <w:t xml:space="preserve"> </w:t>
            </w:r>
            <w:r w:rsidRPr="00926C06">
              <w:rPr>
                <w:rFonts w:ascii="Times New Roman" w:hAnsi="Times New Roman" w:cs="Times New Roman"/>
                <w:sz w:val="24"/>
                <w:szCs w:val="24"/>
              </w:rPr>
              <w:t>due strumenti identici tra di loro nella logica di garantire il back up. Gli strumenti devono essere autonomi ed indipendenti da qualsiasi forma di connessione con gli analizzatori;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Caricare contemporaneamente almeno 150 provette;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 xml:space="preserve">Identificare in automatico, tramite lettura </w:t>
            </w:r>
            <w:proofErr w:type="spellStart"/>
            <w:r w:rsidRPr="00926C06">
              <w:rPr>
                <w:rFonts w:ascii="Times New Roman" w:hAnsi="Times New Roman" w:cs="Times New Roman"/>
                <w:sz w:val="24"/>
                <w:szCs w:val="24"/>
              </w:rPr>
              <w:t>barcode</w:t>
            </w:r>
            <w:proofErr w:type="spellEnd"/>
            <w:r w:rsidRPr="00926C06">
              <w:rPr>
                <w:rFonts w:ascii="Times New Roman" w:hAnsi="Times New Roman" w:cs="Times New Roman"/>
                <w:sz w:val="24"/>
                <w:szCs w:val="24"/>
              </w:rPr>
              <w:t>, tutte le provette (siero, plasma, sangue intero, urine, tamponi di dimensioni 13x75mm,13x100mm e 16x100mm) pervenute in laboratorio anche quelle per analisi non previste dalla procedura in oggetto;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spacing w:after="24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Effettuare il check-in con registrazione di data e ora e segnalazione a LIS dell’informazione di campione pervenuto;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 xml:space="preserve">Segregare le provette non conformi convogliandole in uno specifico </w:t>
            </w:r>
            <w:proofErr w:type="spellStart"/>
            <w:r w:rsidRPr="00926C06">
              <w:rPr>
                <w:rFonts w:ascii="Times New Roman" w:hAnsi="Times New Roman" w:cs="Times New Roman"/>
                <w:sz w:val="24"/>
                <w:szCs w:val="24"/>
              </w:rPr>
              <w:t>rack</w:t>
            </w:r>
            <w:proofErr w:type="spellEnd"/>
            <w:r w:rsidRPr="00926C06">
              <w:rPr>
                <w:rFonts w:ascii="Times New Roman" w:hAnsi="Times New Roman" w:cs="Times New Roman"/>
                <w:sz w:val="24"/>
                <w:szCs w:val="24"/>
              </w:rPr>
              <w:t xml:space="preserve"> di errore;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Stappare automaticamente le provette evitando l’effetto aerosol (</w:t>
            </w:r>
            <w:proofErr w:type="spellStart"/>
            <w:r w:rsidRPr="00926C06">
              <w:rPr>
                <w:rFonts w:ascii="Times New Roman" w:hAnsi="Times New Roman" w:cs="Times New Roman"/>
                <w:sz w:val="24"/>
                <w:szCs w:val="24"/>
              </w:rPr>
              <w:t>decapping</w:t>
            </w:r>
            <w:proofErr w:type="spellEnd"/>
            <w:r w:rsidRPr="00926C06">
              <w:rPr>
                <w:rFonts w:ascii="Times New Roman" w:hAnsi="Times New Roman" w:cs="Times New Roman"/>
                <w:sz w:val="24"/>
                <w:szCs w:val="24"/>
              </w:rPr>
              <w:t>);</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roofErr w:type="spellStart"/>
            <w:r w:rsidRPr="00926C06">
              <w:rPr>
                <w:rFonts w:ascii="Times New Roman" w:hAnsi="Times New Roman" w:cs="Times New Roman"/>
                <w:sz w:val="24"/>
                <w:szCs w:val="24"/>
              </w:rPr>
              <w:t>Aliquotare</w:t>
            </w:r>
            <w:proofErr w:type="spellEnd"/>
            <w:r w:rsidRPr="00926C06">
              <w:rPr>
                <w:rFonts w:ascii="Times New Roman" w:hAnsi="Times New Roman" w:cs="Times New Roman"/>
                <w:sz w:val="24"/>
                <w:szCs w:val="24"/>
              </w:rPr>
              <w:t xml:space="preserve"> selettivamente le provette primarie con logiche configurabili etichettando automaticamente un numero personalizzabile di provette secondarie;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color w:val="000000"/>
                <w:sz w:val="24"/>
                <w:szCs w:val="24"/>
                <w:lang w:eastAsia="it-IT"/>
              </w:rPr>
            </w:pPr>
            <w:r w:rsidRPr="00926C06">
              <w:rPr>
                <w:rFonts w:ascii="Times New Roman" w:hAnsi="Times New Roman" w:cs="Times New Roman"/>
                <w:sz w:val="24"/>
                <w:szCs w:val="24"/>
              </w:rPr>
              <w:t xml:space="preserve">Smistare automaticamente le provette in </w:t>
            </w:r>
            <w:proofErr w:type="spellStart"/>
            <w:r w:rsidRPr="00926C06">
              <w:rPr>
                <w:rFonts w:ascii="Times New Roman" w:hAnsi="Times New Roman" w:cs="Times New Roman"/>
                <w:sz w:val="24"/>
                <w:szCs w:val="24"/>
              </w:rPr>
              <w:t>rack</w:t>
            </w:r>
            <w:proofErr w:type="spellEnd"/>
            <w:r w:rsidRPr="00926C06">
              <w:rPr>
                <w:rFonts w:ascii="Times New Roman" w:hAnsi="Times New Roman" w:cs="Times New Roman"/>
                <w:sz w:val="24"/>
                <w:szCs w:val="24"/>
              </w:rPr>
              <w:t xml:space="preserve"> generici e dedicati alle diverse strumentazioni con logiche distributive configurabili;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Effettuare il check-out delle provette non soggette ad archiviazione tramite sistema di automazione integrata con mappatura per archiviazione con registrazione di data, ora, posizione e segnalazione a LIS dell’informazione di campione archiviato;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color w:val="000000"/>
                <w:sz w:val="24"/>
                <w:szCs w:val="24"/>
                <w:lang w:eastAsia="it-IT"/>
              </w:rPr>
            </w:pPr>
            <w:r w:rsidRPr="00926C06">
              <w:rPr>
                <w:rFonts w:ascii="Times New Roman" w:hAnsi="Times New Roman" w:cs="Times New Roman"/>
                <w:sz w:val="24"/>
                <w:szCs w:val="24"/>
              </w:rPr>
              <w:t>Processare le provette oggetto di trattamento con una produttività per singolo strumento in check-in e smistamento non inferiore a 850 Provette/ora;</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Consentire le operazioni di check-in anche su contenitori diversi da provette, tramite una postazione manuale dedicata in tutte le sedi;</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926C06">
              <w:rPr>
                <w:rFonts w:ascii="Times New Roman" w:hAnsi="Times New Roman" w:cs="Times New Roman"/>
                <w:sz w:val="24"/>
                <w:szCs w:val="24"/>
              </w:rPr>
              <w:t xml:space="preserve">La fornitura deve essere comprensiva di tutto il materiale di consumo necessario che il concorrente dovrà considerare nella propria offerta. Si </w:t>
            </w:r>
            <w:r w:rsidRPr="00926C06">
              <w:rPr>
                <w:rFonts w:ascii="Times New Roman" w:hAnsi="Times New Roman" w:cs="Times New Roman"/>
                <w:sz w:val="24"/>
                <w:szCs w:val="24"/>
              </w:rPr>
              <w:lastRenderedPageBreak/>
              <w:t>stima la produzione di circa 400 aliquote al giorno per il presidio di TV e 200 aliquote al giorno per ciascuno dei presidi di CF e CO;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highlight w:val="yellow"/>
                <w:lang w:eastAsia="it-IT"/>
              </w:rPr>
            </w:pPr>
            <w:r w:rsidRPr="00A45BA4">
              <w:rPr>
                <w:rFonts w:ascii="Times New Roman" w:hAnsi="Times New Roman" w:cs="Times New Roman"/>
                <w:sz w:val="24"/>
                <w:szCs w:val="24"/>
              </w:rPr>
              <w:lastRenderedPageBreak/>
              <w:t>Servizio di assistenza tecnica per hardware e software, con intervento on site entro 8 ore lavorative dalla chiamata dal lunedì al sabato e con intervento Domenica e Festivi in caso di guasto bloccante. Servizio di assistenza telefonica fornito da operatori specializzati per hardware e software 7 gg su 7 disponibile 24 ore al giorno.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bl>
    <w:p w:rsidR="00477FF5" w:rsidRDefault="00477FF5" w:rsidP="00477FF5">
      <w:pPr>
        <w:spacing w:after="120"/>
        <w:contextualSpacing/>
        <w:jc w:val="both"/>
        <w:rPr>
          <w:rFonts w:ascii="Times New Roman" w:hAnsi="Times New Roman" w:cs="Times New Roman"/>
          <w:bCs/>
          <w:sz w:val="24"/>
          <w:szCs w:val="24"/>
        </w:rPr>
      </w:pPr>
    </w:p>
    <w:p w:rsidR="00477FF5" w:rsidRPr="00516377" w:rsidRDefault="00477FF5" w:rsidP="00477FF5">
      <w:pPr>
        <w:jc w:val="both"/>
        <w:rPr>
          <w:rFonts w:ascii="Times New Roman" w:hAnsi="Times New Roman" w:cs="Times New Roman"/>
          <w:sz w:val="24"/>
          <w:szCs w:val="24"/>
        </w:rPr>
      </w:pPr>
    </w:p>
    <w:p w:rsidR="00477FF5" w:rsidRPr="00516377" w:rsidRDefault="00477FF5" w:rsidP="00477FF5">
      <w:pPr>
        <w:jc w:val="both"/>
        <w:rPr>
          <w:rFonts w:ascii="Times New Roman" w:hAnsi="Times New Roman" w:cs="Times New Roman"/>
          <w:sz w:val="24"/>
          <w:szCs w:val="24"/>
        </w:rPr>
      </w:pPr>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Sarà considerata caratteristica premiante l’offerta di sistemi certificati CE-IVD o CE-IVDR, e ciò con l'obbiettivo di aumentare la sicurezza della soluzione in uso e ridurre le non conformità relative al sistema qualità, in accordo con il nuovo regolamento Europeo “REGOLAMENTO (EU) 2017/746 DEL PARL</w:t>
            </w:r>
            <w:r w:rsidRPr="00516377">
              <w:rPr>
                <w:rFonts w:ascii="Times New Roman" w:eastAsia="Times New Roman" w:hAnsi="Times New Roman" w:cs="Times New Roman"/>
                <w:sz w:val="24"/>
                <w:szCs w:val="24"/>
                <w:lang w:eastAsia="it-IT"/>
              </w:rPr>
              <w:t>A</w:t>
            </w:r>
            <w:r w:rsidRPr="00516377">
              <w:rPr>
                <w:rFonts w:ascii="Times New Roman" w:eastAsia="Times New Roman" w:hAnsi="Times New Roman" w:cs="Times New Roman"/>
                <w:sz w:val="24"/>
                <w:szCs w:val="24"/>
                <w:lang w:eastAsia="it-IT"/>
              </w:rPr>
              <w:t>MENTO EUROPEO E DEL CONSIGLIO" del 5 Aprile 2017 relativo ai dispositivi medico-diagnostici in vitro. Ai fini dell'attribuzione del punteggio la cert</w:t>
            </w:r>
            <w:r w:rsidRPr="00516377">
              <w:rPr>
                <w:rFonts w:ascii="Times New Roman" w:eastAsia="Times New Roman" w:hAnsi="Times New Roman" w:cs="Times New Roman"/>
                <w:sz w:val="24"/>
                <w:szCs w:val="24"/>
                <w:lang w:eastAsia="it-IT"/>
              </w:rPr>
              <w:t>i</w:t>
            </w:r>
            <w:r w:rsidRPr="00516377">
              <w:rPr>
                <w:rFonts w:ascii="Times New Roman" w:eastAsia="Times New Roman" w:hAnsi="Times New Roman" w:cs="Times New Roman"/>
                <w:sz w:val="24"/>
                <w:szCs w:val="24"/>
                <w:lang w:eastAsia="it-IT"/>
              </w:rPr>
              <w:t>ficazione secondo la normativa DL 332 del 8/09/2000 e quella EU 2017/746 del 5 Aprile 2017 saranno rit</w:t>
            </w:r>
            <w:r w:rsidRPr="00516377">
              <w:rPr>
                <w:rFonts w:ascii="Times New Roman" w:eastAsia="Times New Roman" w:hAnsi="Times New Roman" w:cs="Times New Roman"/>
                <w:sz w:val="24"/>
                <w:szCs w:val="24"/>
                <w:lang w:eastAsia="it-IT"/>
              </w:rPr>
              <w:t>e</w:t>
            </w:r>
            <w:r w:rsidRPr="00516377">
              <w:rPr>
                <w:rFonts w:ascii="Times New Roman" w:eastAsia="Times New Roman" w:hAnsi="Times New Roman" w:cs="Times New Roman"/>
                <w:sz w:val="24"/>
                <w:szCs w:val="24"/>
                <w:lang w:eastAsia="it-IT"/>
              </w:rPr>
              <w:t xml:space="preserve">nute equivalenti. </w:t>
            </w:r>
            <w:r w:rsidRPr="00516377">
              <w:rPr>
                <w:rFonts w:ascii="Times New Roman" w:eastAsia="Times New Roman" w:hAnsi="Times New Roman" w:cs="Times New Roman"/>
                <w:sz w:val="24"/>
                <w:szCs w:val="24"/>
                <w:lang w:eastAsia="it-IT"/>
              </w:rPr>
              <w:br/>
              <w:t>A tal fine nella documentazione tecnica inserire dichiarazione di conformità ed eventuale numero di r</w:t>
            </w:r>
            <w:r w:rsidRPr="00516377">
              <w:rPr>
                <w:rFonts w:ascii="Times New Roman" w:eastAsia="Times New Roman" w:hAnsi="Times New Roman" w:cs="Times New Roman"/>
                <w:sz w:val="24"/>
                <w:szCs w:val="24"/>
                <w:lang w:eastAsia="it-IT"/>
              </w:rPr>
              <w:t>e</w:t>
            </w:r>
            <w:r w:rsidRPr="00516377">
              <w:rPr>
                <w:rFonts w:ascii="Times New Roman" w:eastAsia="Times New Roman" w:hAnsi="Times New Roman" w:cs="Times New Roman"/>
                <w:sz w:val="24"/>
                <w:szCs w:val="24"/>
                <w:lang w:eastAsia="it-IT"/>
              </w:rPr>
              <w:t>pertorio relativo all'iscrizione del prodotto all'al</w:t>
            </w:r>
            <w:r>
              <w:rPr>
                <w:rFonts w:ascii="Times New Roman" w:eastAsia="Times New Roman" w:hAnsi="Times New Roman" w:cs="Times New Roman"/>
                <w:sz w:val="24"/>
                <w:szCs w:val="24"/>
                <w:lang w:eastAsia="it-IT"/>
              </w:rPr>
              <w:t xml:space="preserve">bo del Ministero della Salute. </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Al fine di implementare un processo con il maggior grado di automazione, otterrà il massimo punteggio</w:t>
            </w:r>
            <w:r>
              <w:rPr>
                <w:rFonts w:ascii="Times New Roman" w:eastAsia="Times New Roman" w:hAnsi="Times New Roman" w:cs="Times New Roman"/>
                <w:sz w:val="24"/>
                <w:szCs w:val="24"/>
                <w:lang w:eastAsia="it-IT"/>
              </w:rPr>
              <w:t xml:space="preserve"> </w:t>
            </w:r>
            <w:r w:rsidRPr="00516377">
              <w:rPr>
                <w:rFonts w:ascii="Times New Roman" w:eastAsia="Times New Roman" w:hAnsi="Times New Roman" w:cs="Times New Roman"/>
                <w:sz w:val="24"/>
                <w:szCs w:val="24"/>
                <w:lang w:eastAsia="it-IT"/>
              </w:rPr>
              <w:t>lo strumento che integra in linea il processo di centr</w:t>
            </w:r>
            <w:r w:rsidRPr="00516377">
              <w:rPr>
                <w:rFonts w:ascii="Times New Roman" w:eastAsia="Times New Roman" w:hAnsi="Times New Roman" w:cs="Times New Roman"/>
                <w:sz w:val="24"/>
                <w:szCs w:val="24"/>
                <w:lang w:eastAsia="it-IT"/>
              </w:rPr>
              <w:t>i</w:t>
            </w:r>
            <w:r w:rsidRPr="00516377">
              <w:rPr>
                <w:rFonts w:ascii="Times New Roman" w:eastAsia="Times New Roman" w:hAnsi="Times New Roman" w:cs="Times New Roman"/>
                <w:sz w:val="24"/>
                <w:szCs w:val="24"/>
                <w:lang w:eastAsia="it-IT"/>
              </w:rPr>
              <w:t>fugazione:</w:t>
            </w:r>
            <w:r w:rsidRPr="00516377">
              <w:rPr>
                <w:rFonts w:ascii="Times New Roman" w:eastAsia="Times New Roman" w:hAnsi="Times New Roman" w:cs="Times New Roman"/>
                <w:sz w:val="24"/>
                <w:szCs w:val="24"/>
                <w:lang w:eastAsia="it-IT"/>
              </w:rPr>
              <w:br/>
            </w:r>
            <w:r w:rsidRPr="00516377">
              <w:rPr>
                <w:rFonts w:ascii="Times New Roman" w:eastAsia="Times New Roman" w:hAnsi="Times New Roman" w:cs="Times New Roman"/>
                <w:sz w:val="24"/>
                <w:szCs w:val="24"/>
                <w:lang w:eastAsia="it-IT"/>
              </w:rPr>
              <w:br/>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Al fine di implementare un processo standardizzato per l'identificazione automatica delle non conformità,</w:t>
            </w:r>
            <w:r>
              <w:rPr>
                <w:rFonts w:ascii="Times New Roman" w:eastAsia="Times New Roman" w:hAnsi="Times New Roman" w:cs="Times New Roman"/>
                <w:sz w:val="24"/>
                <w:szCs w:val="24"/>
                <w:lang w:eastAsia="it-IT"/>
              </w:rPr>
              <w:t xml:space="preserve"> </w:t>
            </w:r>
            <w:r w:rsidRPr="00516377">
              <w:rPr>
                <w:rFonts w:ascii="Times New Roman" w:eastAsia="Times New Roman" w:hAnsi="Times New Roman" w:cs="Times New Roman"/>
                <w:sz w:val="24"/>
                <w:szCs w:val="24"/>
                <w:lang w:eastAsia="it-IT"/>
              </w:rPr>
              <w:t>saranno premiate le funzionalità di ispezione provetta applicabili su ogni provetta oggetto di trattamento, finalizzate a rilevare informazioni utili per la classific</w:t>
            </w:r>
            <w:r w:rsidRPr="00516377">
              <w:rPr>
                <w:rFonts w:ascii="Times New Roman" w:eastAsia="Times New Roman" w:hAnsi="Times New Roman" w:cs="Times New Roman"/>
                <w:sz w:val="24"/>
                <w:szCs w:val="24"/>
                <w:lang w:eastAsia="it-IT"/>
              </w:rPr>
              <w:t>a</w:t>
            </w:r>
            <w:r w:rsidRPr="00516377">
              <w:rPr>
                <w:rFonts w:ascii="Times New Roman" w:eastAsia="Times New Roman" w:hAnsi="Times New Roman" w:cs="Times New Roman"/>
                <w:sz w:val="24"/>
                <w:szCs w:val="24"/>
                <w:lang w:eastAsia="it-IT"/>
              </w:rPr>
              <w:t xml:space="preserve">zione delle non conformità. A titolo esemplificativo si citano il colore del tappo, le dimensioni del contenitore, il volume di campione, presenza e leggibilità </w:t>
            </w:r>
            <w:proofErr w:type="spellStart"/>
            <w:r w:rsidRPr="00516377">
              <w:rPr>
                <w:rFonts w:ascii="Times New Roman" w:eastAsia="Times New Roman" w:hAnsi="Times New Roman" w:cs="Times New Roman"/>
                <w:sz w:val="24"/>
                <w:szCs w:val="24"/>
                <w:lang w:eastAsia="it-IT"/>
              </w:rPr>
              <w:t>ba</w:t>
            </w:r>
            <w:r w:rsidRPr="00516377">
              <w:rPr>
                <w:rFonts w:ascii="Times New Roman" w:eastAsia="Times New Roman" w:hAnsi="Times New Roman" w:cs="Times New Roman"/>
                <w:sz w:val="24"/>
                <w:szCs w:val="24"/>
                <w:lang w:eastAsia="it-IT"/>
              </w:rPr>
              <w:t>r</w:t>
            </w:r>
            <w:r w:rsidRPr="00516377">
              <w:rPr>
                <w:rFonts w:ascii="Times New Roman" w:eastAsia="Times New Roman" w:hAnsi="Times New Roman" w:cs="Times New Roman"/>
                <w:sz w:val="24"/>
                <w:szCs w:val="24"/>
                <w:lang w:eastAsia="it-IT"/>
              </w:rPr>
              <w:t>code</w:t>
            </w:r>
            <w:proofErr w:type="spellEnd"/>
            <w:r w:rsidRPr="00516377">
              <w:rPr>
                <w:rFonts w:ascii="Times New Roman" w:eastAsia="Times New Roman" w:hAnsi="Times New Roman" w:cs="Times New Roman"/>
                <w:sz w:val="24"/>
                <w:szCs w:val="24"/>
                <w:lang w:eastAsia="it-IT"/>
              </w:rPr>
              <w:t>, etc...</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Implementare soluzioni di backup interno alla strumentazione: otterrà il punteggio massimo lo strume</w:t>
            </w:r>
            <w:r w:rsidRPr="00516377">
              <w:rPr>
                <w:rFonts w:ascii="Times New Roman" w:eastAsia="Times New Roman" w:hAnsi="Times New Roman" w:cs="Times New Roman"/>
                <w:sz w:val="24"/>
                <w:szCs w:val="24"/>
                <w:lang w:eastAsia="it-IT"/>
              </w:rPr>
              <w:t>n</w:t>
            </w:r>
            <w:r w:rsidRPr="00516377">
              <w:rPr>
                <w:rFonts w:ascii="Times New Roman" w:eastAsia="Times New Roman" w:hAnsi="Times New Roman" w:cs="Times New Roman"/>
                <w:sz w:val="24"/>
                <w:szCs w:val="24"/>
                <w:lang w:eastAsia="it-IT"/>
              </w:rPr>
              <w:t xml:space="preserve">to dotato di backup interno per le funzioni di </w:t>
            </w:r>
            <w:proofErr w:type="spellStart"/>
            <w:r w:rsidRPr="00516377">
              <w:rPr>
                <w:rFonts w:ascii="Times New Roman" w:eastAsia="Times New Roman" w:hAnsi="Times New Roman" w:cs="Times New Roman"/>
                <w:sz w:val="24"/>
                <w:szCs w:val="24"/>
                <w:lang w:eastAsia="it-IT"/>
              </w:rPr>
              <w:t>check</w:t>
            </w:r>
            <w:proofErr w:type="spellEnd"/>
            <w:r w:rsidRPr="00516377">
              <w:rPr>
                <w:rFonts w:ascii="Times New Roman" w:eastAsia="Times New Roman" w:hAnsi="Times New Roman" w:cs="Times New Roman"/>
                <w:sz w:val="24"/>
                <w:szCs w:val="24"/>
                <w:lang w:eastAsia="it-IT"/>
              </w:rPr>
              <w:t xml:space="preserve"> in,</w:t>
            </w:r>
            <w:r>
              <w:rPr>
                <w:rFonts w:ascii="Times New Roman" w:eastAsia="Times New Roman" w:hAnsi="Times New Roman" w:cs="Times New Roman"/>
                <w:sz w:val="24"/>
                <w:szCs w:val="24"/>
                <w:lang w:eastAsia="it-IT"/>
              </w:rPr>
              <w:t xml:space="preserve"> </w:t>
            </w:r>
            <w:r w:rsidRPr="00516377">
              <w:rPr>
                <w:rFonts w:ascii="Times New Roman" w:eastAsia="Times New Roman" w:hAnsi="Times New Roman" w:cs="Times New Roman"/>
                <w:sz w:val="24"/>
                <w:szCs w:val="24"/>
                <w:lang w:eastAsia="it-IT"/>
              </w:rPr>
              <w:t xml:space="preserve">stappatura, </w:t>
            </w:r>
            <w:proofErr w:type="spellStart"/>
            <w:r w:rsidRPr="00516377">
              <w:rPr>
                <w:rFonts w:ascii="Times New Roman" w:eastAsia="Times New Roman" w:hAnsi="Times New Roman" w:cs="Times New Roman"/>
                <w:sz w:val="24"/>
                <w:szCs w:val="24"/>
                <w:lang w:eastAsia="it-IT"/>
              </w:rPr>
              <w:t>sorting</w:t>
            </w:r>
            <w:proofErr w:type="spellEnd"/>
            <w:r w:rsidRPr="00516377">
              <w:rPr>
                <w:rFonts w:ascii="Times New Roman" w:eastAsia="Times New Roman" w:hAnsi="Times New Roman" w:cs="Times New Roman"/>
                <w:sz w:val="24"/>
                <w:szCs w:val="24"/>
                <w:lang w:eastAsia="it-IT"/>
              </w:rPr>
              <w:t xml:space="preserve"> e </w:t>
            </w:r>
            <w:proofErr w:type="spellStart"/>
            <w:r w:rsidRPr="00516377">
              <w:rPr>
                <w:rFonts w:ascii="Times New Roman" w:eastAsia="Times New Roman" w:hAnsi="Times New Roman" w:cs="Times New Roman"/>
                <w:sz w:val="24"/>
                <w:szCs w:val="24"/>
                <w:lang w:eastAsia="it-IT"/>
              </w:rPr>
              <w:t>aliquotazione</w:t>
            </w:r>
            <w:proofErr w:type="spellEnd"/>
            <w:r w:rsidRPr="00516377">
              <w:rPr>
                <w:rFonts w:ascii="Times New Roman" w:eastAsia="Times New Roman" w:hAnsi="Times New Roman" w:cs="Times New Roman"/>
                <w:sz w:val="24"/>
                <w:szCs w:val="24"/>
                <w:lang w:eastAsia="it-IT"/>
              </w:rPr>
              <w:t>:</w:t>
            </w:r>
            <w:r w:rsidRPr="00516377">
              <w:rPr>
                <w:rFonts w:ascii="Times New Roman" w:eastAsia="Times New Roman" w:hAnsi="Times New Roman" w:cs="Times New Roman"/>
                <w:sz w:val="24"/>
                <w:szCs w:val="24"/>
                <w:lang w:eastAsia="it-IT"/>
              </w:rPr>
              <w:br/>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color w:val="FF0000"/>
                <w:sz w:val="24"/>
                <w:szCs w:val="24"/>
                <w:lang w:eastAsia="it-IT"/>
              </w:rPr>
            </w:pPr>
            <w:r w:rsidRPr="00516377">
              <w:rPr>
                <w:rFonts w:ascii="Times New Roman" w:eastAsia="Times New Roman" w:hAnsi="Times New Roman" w:cs="Times New Roman"/>
                <w:sz w:val="24"/>
                <w:szCs w:val="24"/>
                <w:lang w:eastAsia="it-IT"/>
              </w:rPr>
              <w:t>Massimizzazione degli spazi: otterrà il punteggio massimo</w:t>
            </w:r>
            <w:r>
              <w:rPr>
                <w:rFonts w:ascii="Times New Roman" w:eastAsia="Times New Roman" w:hAnsi="Times New Roman" w:cs="Times New Roman"/>
                <w:sz w:val="24"/>
                <w:szCs w:val="24"/>
                <w:lang w:eastAsia="it-IT"/>
              </w:rPr>
              <w:t xml:space="preserve"> </w:t>
            </w:r>
            <w:r w:rsidRPr="00516377">
              <w:rPr>
                <w:rFonts w:ascii="Times New Roman" w:eastAsia="Times New Roman" w:hAnsi="Times New Roman" w:cs="Times New Roman"/>
                <w:sz w:val="24"/>
                <w:szCs w:val="24"/>
                <w:lang w:eastAsia="it-IT"/>
              </w:rPr>
              <w:t>lo strumento con il minor ingombro complessivo, sulla base dei metri quadri (lunghezza x profondità) dichiarati in sede di proposta progettuale de</w:t>
            </w:r>
            <w:r w:rsidRPr="00516377">
              <w:rPr>
                <w:rFonts w:ascii="Times New Roman" w:eastAsia="Times New Roman" w:hAnsi="Times New Roman" w:cs="Times New Roman"/>
                <w:sz w:val="24"/>
                <w:szCs w:val="24"/>
                <w:lang w:eastAsia="it-IT"/>
              </w:rPr>
              <w:t>l</w:t>
            </w:r>
            <w:r w:rsidRPr="00516377">
              <w:rPr>
                <w:rFonts w:ascii="Times New Roman" w:eastAsia="Times New Roman" w:hAnsi="Times New Roman" w:cs="Times New Roman"/>
                <w:sz w:val="24"/>
                <w:szCs w:val="24"/>
                <w:lang w:eastAsia="it-IT"/>
              </w:rPr>
              <w:t>lo strumento offerto.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spacing w:after="24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lastRenderedPageBreak/>
              <w:t xml:space="preserve">Implementare soluzioni di carico massivo: otterrà il punteggio massimo lo strumento dotato di carico a tramoggia (bulk </w:t>
            </w:r>
            <w:proofErr w:type="spellStart"/>
            <w:r w:rsidRPr="00516377">
              <w:rPr>
                <w:rFonts w:ascii="Times New Roman" w:eastAsia="Times New Roman" w:hAnsi="Times New Roman" w:cs="Times New Roman"/>
                <w:sz w:val="24"/>
                <w:szCs w:val="24"/>
                <w:lang w:eastAsia="it-IT"/>
              </w:rPr>
              <w:t>loader</w:t>
            </w:r>
            <w:proofErr w:type="spellEnd"/>
            <w:r w:rsidRPr="00516377">
              <w:rPr>
                <w:rFonts w:ascii="Times New Roman" w:eastAsia="Times New Roman" w:hAnsi="Times New Roman" w:cs="Times New Roman"/>
                <w:sz w:val="24"/>
                <w:szCs w:val="24"/>
                <w:lang w:eastAsia="it-IT"/>
              </w:rPr>
              <w:t>):</w:t>
            </w:r>
            <w:r w:rsidRPr="00516377">
              <w:rPr>
                <w:rFonts w:ascii="Times New Roman" w:eastAsia="Times New Roman" w:hAnsi="Times New Roman" w:cs="Times New Roman"/>
                <w:sz w:val="24"/>
                <w:szCs w:val="24"/>
                <w:lang w:eastAsia="it-IT"/>
              </w:rPr>
              <w:br/>
            </w:r>
            <w:r w:rsidRPr="00516377">
              <w:rPr>
                <w:rFonts w:ascii="Times New Roman" w:eastAsia="Times New Roman" w:hAnsi="Times New Roman" w:cs="Times New Roman"/>
                <w:sz w:val="24"/>
                <w:szCs w:val="24"/>
                <w:lang w:eastAsia="it-IT"/>
              </w:rPr>
              <w:br/>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Implementare un processo standardizzato per la te</w:t>
            </w:r>
            <w:r w:rsidRPr="00516377">
              <w:rPr>
                <w:rFonts w:ascii="Times New Roman" w:eastAsia="Times New Roman" w:hAnsi="Times New Roman" w:cs="Times New Roman"/>
                <w:sz w:val="24"/>
                <w:szCs w:val="24"/>
                <w:lang w:eastAsia="it-IT"/>
              </w:rPr>
              <w:t>m</w:t>
            </w:r>
            <w:r w:rsidRPr="00516377">
              <w:rPr>
                <w:rFonts w:ascii="Times New Roman" w:eastAsia="Times New Roman" w:hAnsi="Times New Roman" w:cs="Times New Roman"/>
                <w:sz w:val="24"/>
                <w:szCs w:val="24"/>
                <w:lang w:eastAsia="it-IT"/>
              </w:rPr>
              <w:t>pestiva segregazione delle provette non processabili (errori): saranno premiate le modalità di identificazi</w:t>
            </w:r>
            <w:r w:rsidRPr="00516377">
              <w:rPr>
                <w:rFonts w:ascii="Times New Roman" w:eastAsia="Times New Roman" w:hAnsi="Times New Roman" w:cs="Times New Roman"/>
                <w:sz w:val="24"/>
                <w:szCs w:val="24"/>
                <w:lang w:eastAsia="it-IT"/>
              </w:rPr>
              <w:t>o</w:t>
            </w:r>
            <w:r w:rsidRPr="00516377">
              <w:rPr>
                <w:rFonts w:ascii="Times New Roman" w:eastAsia="Times New Roman" w:hAnsi="Times New Roman" w:cs="Times New Roman"/>
                <w:sz w:val="24"/>
                <w:szCs w:val="24"/>
                <w:lang w:eastAsia="it-IT"/>
              </w:rPr>
              <w:t>ne e tempestiva segregazione di ogni provetta non processabile a causa di errori preanalitici,</w:t>
            </w:r>
            <w:r>
              <w:rPr>
                <w:rFonts w:ascii="Times New Roman" w:eastAsia="Times New Roman" w:hAnsi="Times New Roman" w:cs="Times New Roman"/>
                <w:sz w:val="24"/>
                <w:szCs w:val="24"/>
                <w:lang w:eastAsia="it-IT"/>
              </w:rPr>
              <w:t xml:space="preserve"> </w:t>
            </w:r>
            <w:r w:rsidRPr="00516377">
              <w:rPr>
                <w:rFonts w:ascii="Times New Roman" w:eastAsia="Times New Roman" w:hAnsi="Times New Roman" w:cs="Times New Roman"/>
                <w:sz w:val="24"/>
                <w:szCs w:val="24"/>
                <w:lang w:eastAsia="it-IT"/>
              </w:rPr>
              <w:t>premiando</w:t>
            </w:r>
            <w:r>
              <w:rPr>
                <w:rFonts w:ascii="Times New Roman" w:eastAsia="Times New Roman" w:hAnsi="Times New Roman" w:cs="Times New Roman"/>
                <w:sz w:val="24"/>
                <w:szCs w:val="24"/>
                <w:lang w:eastAsia="it-IT"/>
              </w:rPr>
              <w:t xml:space="preserve"> </w:t>
            </w:r>
            <w:r w:rsidRPr="00516377">
              <w:rPr>
                <w:rFonts w:ascii="Times New Roman" w:eastAsia="Times New Roman" w:hAnsi="Times New Roman" w:cs="Times New Roman"/>
                <w:sz w:val="24"/>
                <w:szCs w:val="24"/>
                <w:lang w:eastAsia="it-IT"/>
              </w:rPr>
              <w:t>la presenza di processi automatici di recupero ove a</w:t>
            </w:r>
            <w:r w:rsidRPr="00516377">
              <w:rPr>
                <w:rFonts w:ascii="Times New Roman" w:eastAsia="Times New Roman" w:hAnsi="Times New Roman" w:cs="Times New Roman"/>
                <w:sz w:val="24"/>
                <w:szCs w:val="24"/>
                <w:lang w:eastAsia="it-IT"/>
              </w:rPr>
              <w:t>p</w:t>
            </w:r>
            <w:r w:rsidRPr="00516377">
              <w:rPr>
                <w:rFonts w:ascii="Times New Roman" w:eastAsia="Times New Roman" w:hAnsi="Times New Roman" w:cs="Times New Roman"/>
                <w:sz w:val="24"/>
                <w:szCs w:val="24"/>
                <w:lang w:eastAsia="it-IT"/>
              </w:rPr>
              <w:t>plicabili.</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Ottimizzare il volume di fluido biologico prelevato al paziente e gestire i campioni scarsi: otterrà il punte</w:t>
            </w:r>
            <w:r w:rsidRPr="00516377">
              <w:rPr>
                <w:rFonts w:ascii="Times New Roman" w:eastAsia="Times New Roman" w:hAnsi="Times New Roman" w:cs="Times New Roman"/>
                <w:sz w:val="24"/>
                <w:szCs w:val="24"/>
                <w:lang w:eastAsia="it-IT"/>
              </w:rPr>
              <w:t>g</w:t>
            </w:r>
            <w:r w:rsidRPr="00516377">
              <w:rPr>
                <w:rFonts w:ascii="Times New Roman" w:eastAsia="Times New Roman" w:hAnsi="Times New Roman" w:cs="Times New Roman"/>
                <w:sz w:val="24"/>
                <w:szCs w:val="24"/>
                <w:lang w:eastAsia="it-IT"/>
              </w:rPr>
              <w:t xml:space="preserve">gio massimo la soluzione con il minimo volume </w:t>
            </w:r>
            <w:proofErr w:type="spellStart"/>
            <w:r w:rsidRPr="00516377">
              <w:rPr>
                <w:rFonts w:ascii="Times New Roman" w:eastAsia="Times New Roman" w:hAnsi="Times New Roman" w:cs="Times New Roman"/>
                <w:sz w:val="24"/>
                <w:szCs w:val="24"/>
                <w:lang w:eastAsia="it-IT"/>
              </w:rPr>
              <w:t>al</w:t>
            </w:r>
            <w:r w:rsidRPr="00516377">
              <w:rPr>
                <w:rFonts w:ascii="Times New Roman" w:eastAsia="Times New Roman" w:hAnsi="Times New Roman" w:cs="Times New Roman"/>
                <w:sz w:val="24"/>
                <w:szCs w:val="24"/>
                <w:lang w:eastAsia="it-IT"/>
              </w:rPr>
              <w:t>i</w:t>
            </w:r>
            <w:r w:rsidRPr="00516377">
              <w:rPr>
                <w:rFonts w:ascii="Times New Roman" w:eastAsia="Times New Roman" w:hAnsi="Times New Roman" w:cs="Times New Roman"/>
                <w:sz w:val="24"/>
                <w:szCs w:val="24"/>
                <w:lang w:eastAsia="it-IT"/>
              </w:rPr>
              <w:t>quotabile</w:t>
            </w:r>
            <w:proofErr w:type="spellEnd"/>
            <w:r w:rsidRPr="00516377">
              <w:rPr>
                <w:rFonts w:ascii="Times New Roman" w:eastAsia="Times New Roman" w:hAnsi="Times New Roman" w:cs="Times New Roman"/>
                <w:sz w:val="24"/>
                <w:szCs w:val="24"/>
                <w:lang w:eastAsia="it-IT"/>
              </w:rPr>
              <w:t xml:space="preserve"> in microlitri.</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 xml:space="preserve">Utilizzo del sistema in un'ottica di preanalitica e </w:t>
            </w:r>
            <w:proofErr w:type="spellStart"/>
            <w:r w:rsidRPr="00516377">
              <w:rPr>
                <w:rFonts w:ascii="Times New Roman" w:eastAsia="Times New Roman" w:hAnsi="Times New Roman" w:cs="Times New Roman"/>
                <w:sz w:val="24"/>
                <w:szCs w:val="24"/>
                <w:lang w:eastAsia="it-IT"/>
              </w:rPr>
              <w:t>postanalitica</w:t>
            </w:r>
            <w:proofErr w:type="spellEnd"/>
            <w:r w:rsidRPr="00516377">
              <w:rPr>
                <w:rFonts w:ascii="Times New Roman" w:eastAsia="Times New Roman" w:hAnsi="Times New Roman" w:cs="Times New Roman"/>
                <w:sz w:val="24"/>
                <w:szCs w:val="24"/>
                <w:lang w:eastAsia="it-IT"/>
              </w:rPr>
              <w:t xml:space="preserve"> dipartimentale: saranno premiate le funzionalità del sistema offerto finalizzate alla maggior fle</w:t>
            </w:r>
            <w:r w:rsidRPr="00516377">
              <w:rPr>
                <w:rFonts w:ascii="Times New Roman" w:eastAsia="Times New Roman" w:hAnsi="Times New Roman" w:cs="Times New Roman"/>
                <w:sz w:val="24"/>
                <w:szCs w:val="24"/>
                <w:lang w:eastAsia="it-IT"/>
              </w:rPr>
              <w:t>s</w:t>
            </w:r>
            <w:r w:rsidRPr="00516377">
              <w:rPr>
                <w:rFonts w:ascii="Times New Roman" w:eastAsia="Times New Roman" w:hAnsi="Times New Roman" w:cs="Times New Roman"/>
                <w:sz w:val="24"/>
                <w:szCs w:val="24"/>
                <w:lang w:eastAsia="it-IT"/>
              </w:rPr>
              <w:t>sibilità di configurazione e riconfigurazione delle aree di carico e scarico provette.</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color w:val="000000"/>
                <w:sz w:val="24"/>
                <w:szCs w:val="24"/>
                <w:lang w:eastAsia="it-IT"/>
              </w:rPr>
            </w:pPr>
            <w:r w:rsidRPr="00516377">
              <w:rPr>
                <w:rFonts w:ascii="Times New Roman" w:eastAsia="Times New Roman" w:hAnsi="Times New Roman" w:cs="Times New Roman"/>
                <w:color w:val="000000"/>
                <w:sz w:val="24"/>
                <w:szCs w:val="24"/>
                <w:lang w:eastAsia="it-IT"/>
              </w:rPr>
              <w:t>Utilizzo del sistema in un'ottica di preanalitica dipa</w:t>
            </w:r>
            <w:r w:rsidRPr="00516377">
              <w:rPr>
                <w:rFonts w:ascii="Times New Roman" w:eastAsia="Times New Roman" w:hAnsi="Times New Roman" w:cs="Times New Roman"/>
                <w:color w:val="000000"/>
                <w:sz w:val="24"/>
                <w:szCs w:val="24"/>
                <w:lang w:eastAsia="it-IT"/>
              </w:rPr>
              <w:t>r</w:t>
            </w:r>
            <w:r w:rsidRPr="00516377">
              <w:rPr>
                <w:rFonts w:ascii="Times New Roman" w:eastAsia="Times New Roman" w:hAnsi="Times New Roman" w:cs="Times New Roman"/>
                <w:color w:val="000000"/>
                <w:sz w:val="24"/>
                <w:szCs w:val="24"/>
                <w:lang w:eastAsia="it-IT"/>
              </w:rPr>
              <w:t>timentale. Otterrà il massimo punteggio il sistema offerto in grado di smistare le provette nel maggior n</w:t>
            </w:r>
            <w:r w:rsidRPr="00516377">
              <w:rPr>
                <w:rFonts w:ascii="Times New Roman" w:eastAsia="Times New Roman" w:hAnsi="Times New Roman" w:cs="Times New Roman"/>
                <w:color w:val="000000"/>
                <w:sz w:val="24"/>
                <w:szCs w:val="24"/>
                <w:lang w:eastAsia="it-IT"/>
              </w:rPr>
              <w:t>u</w:t>
            </w:r>
            <w:r w:rsidRPr="00516377">
              <w:rPr>
                <w:rFonts w:ascii="Times New Roman" w:eastAsia="Times New Roman" w:hAnsi="Times New Roman" w:cs="Times New Roman"/>
                <w:color w:val="000000"/>
                <w:sz w:val="24"/>
                <w:szCs w:val="24"/>
                <w:lang w:eastAsia="it-IT"/>
              </w:rPr>
              <w:t xml:space="preserve">mero di tipologie di </w:t>
            </w:r>
            <w:proofErr w:type="spellStart"/>
            <w:r w:rsidRPr="00516377">
              <w:rPr>
                <w:rFonts w:ascii="Times New Roman" w:eastAsia="Times New Roman" w:hAnsi="Times New Roman" w:cs="Times New Roman"/>
                <w:color w:val="000000"/>
                <w:sz w:val="24"/>
                <w:szCs w:val="24"/>
                <w:lang w:eastAsia="it-IT"/>
              </w:rPr>
              <w:t>rack</w:t>
            </w:r>
            <w:proofErr w:type="spellEnd"/>
            <w:r w:rsidRPr="00516377">
              <w:rPr>
                <w:rFonts w:ascii="Times New Roman" w:eastAsia="Times New Roman" w:hAnsi="Times New Roman" w:cs="Times New Roman"/>
                <w:color w:val="000000"/>
                <w:sz w:val="24"/>
                <w:szCs w:val="24"/>
                <w:lang w:eastAsia="it-IT"/>
              </w:rPr>
              <w:t xml:space="preserve"> strumentali. La valutazione verrà effettuata sulla base dell’elenco delle tipologie di </w:t>
            </w:r>
            <w:proofErr w:type="spellStart"/>
            <w:r w:rsidRPr="00516377">
              <w:rPr>
                <w:rFonts w:ascii="Times New Roman" w:eastAsia="Times New Roman" w:hAnsi="Times New Roman" w:cs="Times New Roman"/>
                <w:color w:val="000000"/>
                <w:sz w:val="24"/>
                <w:szCs w:val="24"/>
                <w:lang w:eastAsia="it-IT"/>
              </w:rPr>
              <w:t>rack</w:t>
            </w:r>
            <w:proofErr w:type="spellEnd"/>
            <w:r w:rsidRPr="00516377">
              <w:rPr>
                <w:rFonts w:ascii="Times New Roman" w:eastAsia="Times New Roman" w:hAnsi="Times New Roman" w:cs="Times New Roman"/>
                <w:color w:val="000000"/>
                <w:sz w:val="24"/>
                <w:szCs w:val="24"/>
                <w:lang w:eastAsia="it-IT"/>
              </w:rPr>
              <w:t xml:space="preserve"> strumentali gestibili dalla strumentazione o</w:t>
            </w:r>
            <w:r w:rsidRPr="00516377">
              <w:rPr>
                <w:rFonts w:ascii="Times New Roman" w:eastAsia="Times New Roman" w:hAnsi="Times New Roman" w:cs="Times New Roman"/>
                <w:color w:val="000000"/>
                <w:sz w:val="24"/>
                <w:szCs w:val="24"/>
                <w:lang w:eastAsia="it-IT"/>
              </w:rPr>
              <w:t>f</w:t>
            </w:r>
            <w:r w:rsidRPr="00516377">
              <w:rPr>
                <w:rFonts w:ascii="Times New Roman" w:eastAsia="Times New Roman" w:hAnsi="Times New Roman" w:cs="Times New Roman"/>
                <w:color w:val="000000"/>
                <w:sz w:val="24"/>
                <w:szCs w:val="24"/>
                <w:lang w:eastAsia="it-IT"/>
              </w:rPr>
              <w:t>ferta, con riferimento al listino prodotti (allegare).</w:t>
            </w:r>
          </w:p>
          <w:p w:rsidR="00477FF5" w:rsidRPr="00516377" w:rsidRDefault="00477FF5" w:rsidP="009E786E">
            <w:pPr>
              <w:suppressAutoHyphens w:val="0"/>
              <w:rPr>
                <w:rFonts w:ascii="Times New Roman" w:eastAsia="Times New Roman" w:hAnsi="Times New Roman" w:cs="Times New Roman"/>
                <w:color w:val="000000"/>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Efficienza di processo: otterrà il massimo punteggio lo strumento con la maggior produttività. Il confronto sarà effettuato per singolo strumento. Per offerte con strumenti differenti sarà preso a riferimento lo strumento meno produttivo. La valutazione verrà effettu</w:t>
            </w:r>
            <w:r w:rsidRPr="00516377">
              <w:rPr>
                <w:rFonts w:ascii="Times New Roman" w:eastAsia="Times New Roman" w:hAnsi="Times New Roman" w:cs="Times New Roman"/>
                <w:sz w:val="24"/>
                <w:szCs w:val="24"/>
                <w:lang w:eastAsia="it-IT"/>
              </w:rPr>
              <w:t>a</w:t>
            </w:r>
            <w:r w:rsidRPr="00516377">
              <w:rPr>
                <w:rFonts w:ascii="Times New Roman" w:eastAsia="Times New Roman" w:hAnsi="Times New Roman" w:cs="Times New Roman"/>
                <w:sz w:val="24"/>
                <w:szCs w:val="24"/>
                <w:lang w:eastAsia="it-IT"/>
              </w:rPr>
              <w:t>ta sulla base del dato di produttività riferito a check-in, stappatura e smistamento in provette/ora dichiarato nella proposta progettuale con riferimento alla scheda tecnica e/o al manuale operatore dello strumento.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color w:val="000000"/>
                <w:sz w:val="24"/>
                <w:szCs w:val="24"/>
                <w:lang w:eastAsia="it-IT"/>
              </w:rPr>
            </w:pPr>
            <w:r w:rsidRPr="00516377">
              <w:rPr>
                <w:rFonts w:ascii="Times New Roman" w:eastAsia="Times New Roman" w:hAnsi="Times New Roman" w:cs="Times New Roman"/>
                <w:color w:val="000000"/>
                <w:sz w:val="24"/>
                <w:szCs w:val="24"/>
                <w:lang w:eastAsia="it-IT"/>
              </w:rPr>
              <w:t xml:space="preserve">Utilizzo del sistema in un'ottica di </w:t>
            </w:r>
            <w:proofErr w:type="spellStart"/>
            <w:r w:rsidRPr="00516377">
              <w:rPr>
                <w:rFonts w:ascii="Times New Roman" w:eastAsia="Times New Roman" w:hAnsi="Times New Roman" w:cs="Times New Roman"/>
                <w:color w:val="000000"/>
                <w:sz w:val="24"/>
                <w:szCs w:val="24"/>
                <w:lang w:eastAsia="it-IT"/>
              </w:rPr>
              <w:t>postanalitica</w:t>
            </w:r>
            <w:proofErr w:type="spellEnd"/>
            <w:r w:rsidRPr="00516377">
              <w:rPr>
                <w:rFonts w:ascii="Times New Roman" w:eastAsia="Times New Roman" w:hAnsi="Times New Roman" w:cs="Times New Roman"/>
                <w:color w:val="000000"/>
                <w:sz w:val="24"/>
                <w:szCs w:val="24"/>
                <w:lang w:eastAsia="it-IT"/>
              </w:rPr>
              <w:t xml:space="preserve"> dipartimentale: otterrà il massimo punteggio il sistema o</w:t>
            </w:r>
            <w:r w:rsidRPr="00516377">
              <w:rPr>
                <w:rFonts w:ascii="Times New Roman" w:eastAsia="Times New Roman" w:hAnsi="Times New Roman" w:cs="Times New Roman"/>
                <w:color w:val="000000"/>
                <w:sz w:val="24"/>
                <w:szCs w:val="24"/>
                <w:lang w:eastAsia="it-IT"/>
              </w:rPr>
              <w:t>f</w:t>
            </w:r>
            <w:r w:rsidRPr="00516377">
              <w:rPr>
                <w:rFonts w:ascii="Times New Roman" w:eastAsia="Times New Roman" w:hAnsi="Times New Roman" w:cs="Times New Roman"/>
                <w:color w:val="000000"/>
                <w:sz w:val="24"/>
                <w:szCs w:val="24"/>
                <w:lang w:eastAsia="it-IT"/>
              </w:rPr>
              <w:t xml:space="preserve">ferto in grado di prelevare provette già analizzate dal maggior numero di tipologie di </w:t>
            </w:r>
            <w:proofErr w:type="spellStart"/>
            <w:r w:rsidRPr="00516377">
              <w:rPr>
                <w:rFonts w:ascii="Times New Roman" w:eastAsia="Times New Roman" w:hAnsi="Times New Roman" w:cs="Times New Roman"/>
                <w:color w:val="000000"/>
                <w:sz w:val="24"/>
                <w:szCs w:val="24"/>
                <w:lang w:eastAsia="it-IT"/>
              </w:rPr>
              <w:t>rack</w:t>
            </w:r>
            <w:proofErr w:type="spellEnd"/>
            <w:r w:rsidRPr="00516377">
              <w:rPr>
                <w:rFonts w:ascii="Times New Roman" w:eastAsia="Times New Roman" w:hAnsi="Times New Roman" w:cs="Times New Roman"/>
                <w:color w:val="000000"/>
                <w:sz w:val="24"/>
                <w:szCs w:val="24"/>
                <w:lang w:eastAsia="it-IT"/>
              </w:rPr>
              <w:t xml:space="preserve"> </w:t>
            </w:r>
            <w:proofErr w:type="spellStart"/>
            <w:r w:rsidRPr="00516377">
              <w:rPr>
                <w:rFonts w:ascii="Times New Roman" w:eastAsia="Times New Roman" w:hAnsi="Times New Roman" w:cs="Times New Roman"/>
                <w:color w:val="000000"/>
                <w:sz w:val="24"/>
                <w:szCs w:val="24"/>
                <w:lang w:eastAsia="it-IT"/>
              </w:rPr>
              <w:t>portacampioni</w:t>
            </w:r>
            <w:proofErr w:type="spellEnd"/>
            <w:r w:rsidRPr="00516377">
              <w:rPr>
                <w:rFonts w:ascii="Times New Roman" w:eastAsia="Times New Roman" w:hAnsi="Times New Roman" w:cs="Times New Roman"/>
                <w:color w:val="000000"/>
                <w:sz w:val="24"/>
                <w:szCs w:val="24"/>
                <w:lang w:eastAsia="it-IT"/>
              </w:rPr>
              <w:t xml:space="preserve"> appartenenti a diversi analizzatori e </w:t>
            </w:r>
            <w:proofErr w:type="spellStart"/>
            <w:r w:rsidRPr="00516377">
              <w:rPr>
                <w:rFonts w:ascii="Times New Roman" w:eastAsia="Times New Roman" w:hAnsi="Times New Roman" w:cs="Times New Roman"/>
                <w:color w:val="000000"/>
                <w:sz w:val="24"/>
                <w:szCs w:val="24"/>
                <w:lang w:eastAsia="it-IT"/>
              </w:rPr>
              <w:t>rack</w:t>
            </w:r>
            <w:proofErr w:type="spellEnd"/>
            <w:r w:rsidRPr="00516377">
              <w:rPr>
                <w:rFonts w:ascii="Times New Roman" w:eastAsia="Times New Roman" w:hAnsi="Times New Roman" w:cs="Times New Roman"/>
                <w:color w:val="000000"/>
                <w:sz w:val="24"/>
                <w:szCs w:val="24"/>
                <w:lang w:eastAsia="it-IT"/>
              </w:rPr>
              <w:t xml:space="preserve"> di sistemi di automazione per effettuare il check-out e la mappatura per archiviazione. La valutazione verrà effettuata sulla base dell’elenco della tipologia di </w:t>
            </w:r>
            <w:proofErr w:type="spellStart"/>
            <w:r w:rsidRPr="00516377">
              <w:rPr>
                <w:rFonts w:ascii="Times New Roman" w:eastAsia="Times New Roman" w:hAnsi="Times New Roman" w:cs="Times New Roman"/>
                <w:color w:val="000000"/>
                <w:sz w:val="24"/>
                <w:szCs w:val="24"/>
                <w:lang w:eastAsia="it-IT"/>
              </w:rPr>
              <w:t>rack</w:t>
            </w:r>
            <w:proofErr w:type="spellEnd"/>
            <w:r w:rsidRPr="00516377">
              <w:rPr>
                <w:rFonts w:ascii="Times New Roman" w:eastAsia="Times New Roman" w:hAnsi="Times New Roman" w:cs="Times New Roman"/>
                <w:color w:val="000000"/>
                <w:sz w:val="24"/>
                <w:szCs w:val="24"/>
                <w:lang w:eastAsia="it-IT"/>
              </w:rPr>
              <w:t xml:space="preserve"> gestibili in </w:t>
            </w:r>
            <w:proofErr w:type="spellStart"/>
            <w:r w:rsidRPr="00516377">
              <w:rPr>
                <w:rFonts w:ascii="Times New Roman" w:eastAsia="Times New Roman" w:hAnsi="Times New Roman" w:cs="Times New Roman"/>
                <w:color w:val="000000"/>
                <w:sz w:val="24"/>
                <w:szCs w:val="24"/>
                <w:lang w:eastAsia="it-IT"/>
              </w:rPr>
              <w:t>check</w:t>
            </w:r>
            <w:proofErr w:type="spellEnd"/>
            <w:r w:rsidRPr="00516377">
              <w:rPr>
                <w:rFonts w:ascii="Times New Roman" w:eastAsia="Times New Roman" w:hAnsi="Times New Roman" w:cs="Times New Roman"/>
                <w:color w:val="000000"/>
                <w:sz w:val="24"/>
                <w:szCs w:val="24"/>
                <w:lang w:eastAsia="it-IT"/>
              </w:rPr>
              <w:t xml:space="preserve"> out dalla strumentazione offerta con riferimento al listino prodotti (allegare).</w:t>
            </w:r>
          </w:p>
          <w:p w:rsidR="00477FF5" w:rsidRPr="00516377" w:rsidRDefault="00477FF5" w:rsidP="009E786E">
            <w:pPr>
              <w:suppressAutoHyphens w:val="0"/>
              <w:rPr>
                <w:rFonts w:ascii="Times New Roman" w:eastAsia="Times New Roman" w:hAnsi="Times New Roman" w:cs="Times New Roman"/>
                <w:color w:val="000000"/>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 xml:space="preserve">Possibilità di ricevere da LIS/software strumentale </w:t>
            </w:r>
            <w:proofErr w:type="spellStart"/>
            <w:r w:rsidRPr="00516377">
              <w:rPr>
                <w:rFonts w:ascii="Times New Roman" w:eastAsia="Times New Roman" w:hAnsi="Times New Roman" w:cs="Times New Roman"/>
                <w:sz w:val="24"/>
                <w:szCs w:val="24"/>
                <w:lang w:eastAsia="it-IT"/>
              </w:rPr>
              <w:t>barcode</w:t>
            </w:r>
            <w:proofErr w:type="spellEnd"/>
            <w:r w:rsidRPr="00516377">
              <w:rPr>
                <w:rFonts w:ascii="Times New Roman" w:eastAsia="Times New Roman" w:hAnsi="Times New Roman" w:cs="Times New Roman"/>
                <w:sz w:val="24"/>
                <w:szCs w:val="24"/>
                <w:lang w:eastAsia="it-IT"/>
              </w:rPr>
              <w:t xml:space="preserve"> aliquota programmati:</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 xml:space="preserve"> Criterio riferito al solo laboratorio di Treviso. Ott</w:t>
            </w:r>
            <w:r w:rsidRPr="00516377">
              <w:rPr>
                <w:rFonts w:ascii="Times New Roman" w:eastAsia="Times New Roman" w:hAnsi="Times New Roman" w:cs="Times New Roman"/>
                <w:sz w:val="24"/>
                <w:szCs w:val="24"/>
                <w:lang w:eastAsia="it-IT"/>
              </w:rPr>
              <w:t>i</w:t>
            </w:r>
            <w:r w:rsidRPr="00516377">
              <w:rPr>
                <w:rFonts w:ascii="Times New Roman" w:eastAsia="Times New Roman" w:hAnsi="Times New Roman" w:cs="Times New Roman"/>
                <w:sz w:val="24"/>
                <w:szCs w:val="24"/>
                <w:lang w:eastAsia="it-IT"/>
              </w:rPr>
              <w:t>mizzazione dello spazio: sarà premiata la progettazione architettonica dei sistemi oggetto di offerta in rel</w:t>
            </w:r>
            <w:r w:rsidRPr="00516377">
              <w:rPr>
                <w:rFonts w:ascii="Times New Roman" w:eastAsia="Times New Roman" w:hAnsi="Times New Roman" w:cs="Times New Roman"/>
                <w:sz w:val="24"/>
                <w:szCs w:val="24"/>
                <w:lang w:eastAsia="it-IT"/>
              </w:rPr>
              <w:t>a</w:t>
            </w:r>
            <w:r w:rsidRPr="00516377">
              <w:rPr>
                <w:rFonts w:ascii="Times New Roman" w:eastAsia="Times New Roman" w:hAnsi="Times New Roman" w:cs="Times New Roman"/>
                <w:sz w:val="24"/>
                <w:szCs w:val="24"/>
                <w:lang w:eastAsia="it-IT"/>
              </w:rPr>
              <w:t xml:space="preserve">zione alla ergonomia degli spazi, ai vincoli strutturali e </w:t>
            </w:r>
            <w:r w:rsidRPr="00516377">
              <w:rPr>
                <w:rFonts w:ascii="Times New Roman" w:eastAsia="Times New Roman" w:hAnsi="Times New Roman" w:cs="Times New Roman"/>
                <w:sz w:val="24"/>
                <w:szCs w:val="24"/>
                <w:lang w:eastAsia="it-IT"/>
              </w:rPr>
              <w:lastRenderedPageBreak/>
              <w:t>a quelli dettati dal posizionamento delle strument</w:t>
            </w:r>
            <w:r w:rsidRPr="00516377">
              <w:rPr>
                <w:rFonts w:ascii="Times New Roman" w:eastAsia="Times New Roman" w:hAnsi="Times New Roman" w:cs="Times New Roman"/>
                <w:sz w:val="24"/>
                <w:szCs w:val="24"/>
                <w:lang w:eastAsia="it-IT"/>
              </w:rPr>
              <w:t>a</w:t>
            </w:r>
            <w:r w:rsidRPr="00516377">
              <w:rPr>
                <w:rFonts w:ascii="Times New Roman" w:eastAsia="Times New Roman" w:hAnsi="Times New Roman" w:cs="Times New Roman"/>
                <w:sz w:val="24"/>
                <w:szCs w:val="24"/>
                <w:lang w:eastAsia="it-IT"/>
              </w:rPr>
              <w:t>zioni esistenti e di futura acquisizione</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jc w:val="both"/>
              <w:rPr>
                <w:rFonts w:ascii="Times New Roman" w:eastAsia="Times New Roman" w:hAnsi="Times New Roman" w:cs="Times New Roman"/>
                <w:sz w:val="24"/>
                <w:szCs w:val="24"/>
                <w:highlight w:val="yellow"/>
                <w:lang w:eastAsia="it-IT"/>
              </w:rPr>
            </w:pPr>
          </w:p>
          <w:p w:rsidR="00477FF5" w:rsidRPr="00A45BA4" w:rsidRDefault="00477FF5" w:rsidP="009E786E">
            <w:pPr>
              <w:suppressAutoHyphens w:val="0"/>
              <w:jc w:val="both"/>
              <w:rPr>
                <w:rFonts w:ascii="Times New Roman" w:hAnsi="Times New Roman" w:cs="Times New Roman"/>
              </w:rPr>
            </w:pPr>
            <w:r w:rsidRPr="00516377">
              <w:rPr>
                <w:rFonts w:ascii="Times New Roman" w:eastAsia="Times New Roman" w:hAnsi="Times New Roman" w:cs="Times New Roman"/>
                <w:sz w:val="24"/>
                <w:szCs w:val="24"/>
                <w:lang w:eastAsia="it-IT"/>
              </w:rPr>
              <w:t>Nell’ottica di una preanalitica dipartimentale sarà premiata la fornitura di uno strumento di preanalitica anche per le sedi di Montebelluna, Oderzo e Vittorio Veneto. Gli strumenti dovranno essere interfacciati al LIS e in grado di effettuare operazioni di check-in e smistamento.</w:t>
            </w:r>
          </w:p>
          <w:p w:rsidR="00477FF5" w:rsidRPr="00516377" w:rsidRDefault="00477FF5" w:rsidP="009E786E">
            <w:pPr>
              <w:suppressAutoHyphens w:val="0"/>
              <w:jc w:val="both"/>
              <w:rPr>
                <w:rFonts w:ascii="Times New Roman" w:eastAsia="Times New Roman" w:hAnsi="Times New Roman" w:cs="Times New Roman"/>
                <w:sz w:val="24"/>
                <w:szCs w:val="24"/>
                <w:highlight w:val="yellow"/>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Migliorie progettuali. Saranno premiati ulteriori el</w:t>
            </w:r>
            <w:r w:rsidRPr="00516377">
              <w:rPr>
                <w:rFonts w:ascii="Times New Roman" w:eastAsia="Times New Roman" w:hAnsi="Times New Roman" w:cs="Times New Roman"/>
                <w:sz w:val="24"/>
                <w:szCs w:val="24"/>
                <w:lang w:eastAsia="it-IT"/>
              </w:rPr>
              <w:t>e</w:t>
            </w:r>
            <w:r w:rsidRPr="00516377">
              <w:rPr>
                <w:rFonts w:ascii="Times New Roman" w:eastAsia="Times New Roman" w:hAnsi="Times New Roman" w:cs="Times New Roman"/>
                <w:sz w:val="24"/>
                <w:szCs w:val="24"/>
                <w:lang w:eastAsia="it-IT"/>
              </w:rPr>
              <w:t>menti migliorativi delle soluzioni o degli strumenti che il concorrente ritiene utile sottoporre ai fini della progettualità complessiva.</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hAnsi="Times New Roman" w:cs="Times New Roman"/>
              </w:rPr>
            </w:pPr>
            <w:r w:rsidRPr="00516377">
              <w:rPr>
                <w:rFonts w:ascii="Times New Roman" w:eastAsia="Times New Roman" w:hAnsi="Times New Roman" w:cs="Times New Roman"/>
                <w:color w:val="000000"/>
                <w:sz w:val="24"/>
                <w:szCs w:val="24"/>
                <w:lang w:eastAsia="it-IT"/>
              </w:rPr>
              <w:t xml:space="preserve"> </w:t>
            </w:r>
          </w:p>
          <w:p w:rsidR="00477FF5" w:rsidRPr="00516377"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Verrà valutato il servizio post-vendita proposto dalla ditta nel suo complesso.</w:t>
            </w:r>
          </w:p>
          <w:p w:rsidR="00477FF5" w:rsidRPr="006F2EE1"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sz w:val="24"/>
                <w:szCs w:val="24"/>
                <w:lang w:eastAsia="it-IT"/>
              </w:rPr>
              <w:t>In particolare verrà valutata la proposta progettuale per tempi e modalità di risoluzione dei guasti, volta a garantire la continuità diagnostica e saranno premiate soluzioni di assistenza tecnica migliorative rispetto a quanto previsto nel capitolato speciale Parte Seconda art. 6.2</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Default="00477FF5" w:rsidP="009E786E">
            <w:pPr>
              <w:suppressAutoHyphens w:val="0"/>
              <w:rPr>
                <w:rFonts w:ascii="Times New Roman" w:eastAsia="Times New Roman" w:hAnsi="Times New Roman" w:cs="Times New Roman"/>
                <w:sz w:val="24"/>
                <w:szCs w:val="24"/>
                <w:lang w:eastAsia="it-IT"/>
              </w:rPr>
            </w:pPr>
            <w:r w:rsidRPr="00516377">
              <w:rPr>
                <w:rFonts w:ascii="Times New Roman" w:eastAsia="Times New Roman" w:hAnsi="Times New Roman" w:cs="Times New Roman"/>
                <w:color w:val="000000"/>
                <w:sz w:val="24"/>
                <w:szCs w:val="24"/>
                <w:lang w:eastAsia="it-IT"/>
              </w:rPr>
              <w:t>Piano di attuazione e transizione della nuova soluzi</w:t>
            </w:r>
            <w:r w:rsidRPr="00516377">
              <w:rPr>
                <w:rFonts w:ascii="Times New Roman" w:eastAsia="Times New Roman" w:hAnsi="Times New Roman" w:cs="Times New Roman"/>
                <w:color w:val="000000"/>
                <w:sz w:val="24"/>
                <w:szCs w:val="24"/>
                <w:lang w:eastAsia="it-IT"/>
              </w:rPr>
              <w:t>o</w:t>
            </w:r>
            <w:r w:rsidRPr="00516377">
              <w:rPr>
                <w:rFonts w:ascii="Times New Roman" w:eastAsia="Times New Roman" w:hAnsi="Times New Roman" w:cs="Times New Roman"/>
                <w:color w:val="000000"/>
                <w:sz w:val="24"/>
                <w:szCs w:val="24"/>
                <w:lang w:eastAsia="it-IT"/>
              </w:rPr>
              <w:t>ne tenendo conto della necessità di continuità operat</w:t>
            </w:r>
            <w:r w:rsidRPr="00516377">
              <w:rPr>
                <w:rFonts w:ascii="Times New Roman" w:eastAsia="Times New Roman" w:hAnsi="Times New Roman" w:cs="Times New Roman"/>
                <w:color w:val="000000"/>
                <w:sz w:val="24"/>
                <w:szCs w:val="24"/>
                <w:lang w:eastAsia="it-IT"/>
              </w:rPr>
              <w:t>i</w:t>
            </w:r>
            <w:r w:rsidRPr="00516377">
              <w:rPr>
                <w:rFonts w:ascii="Times New Roman" w:eastAsia="Times New Roman" w:hAnsi="Times New Roman" w:cs="Times New Roman"/>
                <w:color w:val="000000"/>
                <w:sz w:val="24"/>
                <w:szCs w:val="24"/>
                <w:lang w:eastAsia="it-IT"/>
              </w:rPr>
              <w:t>va e della formazione del persona</w:t>
            </w:r>
            <w:r w:rsidRPr="00516377">
              <w:rPr>
                <w:rFonts w:ascii="Times New Roman" w:eastAsia="Times New Roman" w:hAnsi="Times New Roman" w:cs="Times New Roman"/>
                <w:sz w:val="24"/>
                <w:szCs w:val="24"/>
                <w:lang w:eastAsia="it-IT"/>
              </w:rPr>
              <w:t>le.</w:t>
            </w:r>
          </w:p>
          <w:p w:rsidR="00477FF5" w:rsidRPr="00516377" w:rsidRDefault="00477FF5" w:rsidP="009E786E">
            <w:pPr>
              <w:suppressAutoHyphens w:val="0"/>
              <w:rPr>
                <w:rFonts w:ascii="Times New Roman" w:eastAsia="Times New Roman" w:hAnsi="Times New Roman" w:cs="Times New Roman"/>
                <w:color w:val="000000"/>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bl>
    <w:p w:rsidR="0065362A" w:rsidRDefault="0065362A">
      <w:bookmarkStart w:id="2" w:name="_GoBack"/>
      <w:bookmarkEnd w:id="2"/>
    </w:p>
    <w:sectPr w:rsidR="006536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C8"/>
    <w:rsid w:val="00477FF5"/>
    <w:rsid w:val="0065362A"/>
    <w:rsid w:val="00F639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7477</Characters>
  <Application>Microsoft Office Word</Application>
  <DocSecurity>0</DocSecurity>
  <Lines>62</Lines>
  <Paragraphs>17</Paragraphs>
  <ScaleCrop>false</ScaleCrop>
  <Company>ULSS9 Treviso - COI</Company>
  <LinksUpToDate>false</LinksUpToDate>
  <CharactersWithSpaces>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Federico Bressan</cp:lastModifiedBy>
  <cp:revision>2</cp:revision>
  <dcterms:created xsi:type="dcterms:W3CDTF">2024-07-10T06:38:00Z</dcterms:created>
  <dcterms:modified xsi:type="dcterms:W3CDTF">2024-07-10T06:38:00Z</dcterms:modified>
</cp:coreProperties>
</file>